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67"/>
        <w:gridCol w:w="2508"/>
        <w:gridCol w:w="1440"/>
        <w:gridCol w:w="1552"/>
        <w:gridCol w:w="1834"/>
        <w:gridCol w:w="1834"/>
      </w:tblGrid>
      <w:tr w:rsidR="005A66AD" w:rsidRPr="005A66AD" w14:paraId="0A3C8D7F" w14:textId="77777777" w:rsidTr="005A66AD">
        <w:trPr>
          <w:trHeight w:val="300"/>
        </w:trPr>
        <w:tc>
          <w:tcPr>
            <w:tcW w:w="9535" w:type="dxa"/>
            <w:gridSpan w:val="6"/>
            <w:noWrap/>
            <w:hideMark/>
          </w:tcPr>
          <w:p w14:paraId="729E9494" w14:textId="05A8829B" w:rsidR="005A66AD" w:rsidRDefault="00766381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5983 Z1 A</w:t>
            </w:r>
            <w:bookmarkStart w:id="0" w:name="_GoBack"/>
            <w:bookmarkEnd w:id="0"/>
            <w:r w:rsidR="005A66AD"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TTACHMENT A</w:t>
            </w:r>
          </w:p>
          <w:p w14:paraId="48B6EB60" w14:textId="61BFF9C4" w:rsidR="009A406A" w:rsidRDefault="00D170EB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Bidder </w:t>
            </w:r>
            <w:r w:rsidR="009A406A"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Requirements Matrix</w:t>
            </w:r>
          </w:p>
          <w:p w14:paraId="1CDDC38D" w14:textId="77777777" w:rsidR="00326FAE" w:rsidRDefault="00326FAE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709439" w14:textId="779F8D3F" w:rsidR="009A406A" w:rsidRDefault="00D170EB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Bidder Name:</w:t>
            </w:r>
            <w:r w:rsidR="009A406A"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</w:t>
            </w:r>
          </w:p>
          <w:p w14:paraId="75F31A15" w14:textId="77777777" w:rsidR="009A406A" w:rsidRPr="005A66AD" w:rsidRDefault="009A406A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66AD" w:rsidRPr="005A66AD" w14:paraId="1A78CF13" w14:textId="77777777" w:rsidTr="005A66AD">
        <w:trPr>
          <w:trHeight w:val="503"/>
        </w:trPr>
        <w:tc>
          <w:tcPr>
            <w:tcW w:w="9535" w:type="dxa"/>
            <w:gridSpan w:val="6"/>
            <w:hideMark/>
          </w:tcPr>
          <w:p w14:paraId="500CE9F9" w14:textId="77777777" w:rsidR="005A66AD" w:rsidRPr="005A66AD" w:rsidRDefault="005A66AD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Bidder should provide a narrative response for each of the following requirements, detailing how the bidder's firm will meet each of the requirements.</w:t>
            </w:r>
          </w:p>
        </w:tc>
      </w:tr>
      <w:tr w:rsidR="005A66AD" w:rsidRPr="005A66AD" w14:paraId="2A9B2DE0" w14:textId="77777777" w:rsidTr="005A66AD">
        <w:trPr>
          <w:trHeight w:val="330"/>
        </w:trPr>
        <w:tc>
          <w:tcPr>
            <w:tcW w:w="9535" w:type="dxa"/>
            <w:gridSpan w:val="6"/>
            <w:hideMark/>
          </w:tcPr>
          <w:p w14:paraId="27ACC8AC" w14:textId="77777777" w:rsidR="005A66AD" w:rsidRPr="005A66AD" w:rsidRDefault="005A66AD" w:rsidP="005A6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Description and Bidder Response</w:t>
            </w:r>
          </w:p>
        </w:tc>
      </w:tr>
      <w:tr w:rsidR="005A66AD" w:rsidRPr="005A66AD" w14:paraId="6FE4E5A4" w14:textId="77777777" w:rsidTr="005A66AD">
        <w:trPr>
          <w:trHeight w:val="368"/>
        </w:trPr>
        <w:tc>
          <w:tcPr>
            <w:tcW w:w="367" w:type="dxa"/>
            <w:noWrap/>
            <w:hideMark/>
          </w:tcPr>
          <w:p w14:paraId="1E3BB77B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68" w:type="dxa"/>
            <w:gridSpan w:val="5"/>
            <w:hideMark/>
          </w:tcPr>
          <w:p w14:paraId="73FA99A3" w14:textId="77777777" w:rsidR="005A66AD" w:rsidRPr="005A66AD" w:rsidRDefault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Transportation Services between Grand Island NE and Kearney NE at established designated sites; Overall Approach </w:t>
            </w:r>
          </w:p>
        </w:tc>
      </w:tr>
      <w:tr w:rsidR="005A66AD" w:rsidRPr="005A66AD" w14:paraId="6D8BDB96" w14:textId="77777777" w:rsidTr="005A66AD">
        <w:trPr>
          <w:trHeight w:val="305"/>
        </w:trPr>
        <w:tc>
          <w:tcPr>
            <w:tcW w:w="367" w:type="dxa"/>
            <w:vMerge w:val="restart"/>
            <w:noWrap/>
            <w:hideMark/>
          </w:tcPr>
          <w:p w14:paraId="3B4AC648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168" w:type="dxa"/>
            <w:gridSpan w:val="5"/>
            <w:hideMark/>
          </w:tcPr>
          <w:p w14:paraId="3EA57BD1" w14:textId="3706B152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Provide Transportation Services between Kearney, NE and Grand Island, NE at established Designated Sites.</w:t>
            </w:r>
            <w:r w:rsidR="002B7932">
              <w:rPr>
                <w:rFonts w:ascii="Arial" w:hAnsi="Arial" w:cs="Arial"/>
                <w:sz w:val="18"/>
                <w:szCs w:val="18"/>
              </w:rPr>
              <w:t xml:space="preserve"> Describe your process. </w:t>
            </w:r>
          </w:p>
        </w:tc>
      </w:tr>
      <w:tr w:rsidR="005A66AD" w:rsidRPr="005A66AD" w14:paraId="60A7F387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29740174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626891A3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D170EB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2893BE75" w14:textId="77777777" w:rsidTr="005A66AD">
        <w:trPr>
          <w:trHeight w:val="242"/>
        </w:trPr>
        <w:tc>
          <w:tcPr>
            <w:tcW w:w="367" w:type="dxa"/>
            <w:vMerge w:val="restart"/>
            <w:noWrap/>
            <w:hideMark/>
          </w:tcPr>
          <w:p w14:paraId="26366FAA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168" w:type="dxa"/>
            <w:gridSpan w:val="5"/>
            <w:hideMark/>
          </w:tcPr>
          <w:p w14:paraId="11669CA2" w14:textId="0048624A" w:rsidR="005A66AD" w:rsidRPr="005A66AD" w:rsidRDefault="005A66AD" w:rsidP="00DF3696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Work with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to determine and establish optimal trip schedule to meet the needs of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Passengers.</w:t>
            </w:r>
            <w:r w:rsidR="002B7932">
              <w:rPr>
                <w:rFonts w:ascii="Arial" w:hAnsi="Arial" w:cs="Arial"/>
                <w:sz w:val="18"/>
                <w:szCs w:val="18"/>
              </w:rPr>
              <w:t xml:space="preserve">  Describe your schedule process.</w:t>
            </w:r>
          </w:p>
        </w:tc>
      </w:tr>
      <w:tr w:rsidR="005A66AD" w:rsidRPr="005A66AD" w14:paraId="2839FC89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46FE4C8B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24CB599F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4320382F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5399CA17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168" w:type="dxa"/>
            <w:gridSpan w:val="5"/>
            <w:hideMark/>
          </w:tcPr>
          <w:p w14:paraId="4DEAC8A5" w14:textId="666FC951" w:rsidR="005A66AD" w:rsidRPr="005A66AD" w:rsidRDefault="005A66AD" w:rsidP="002B7F8E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Determine and establish optimal Designated Site locations, at minimum one in </w:t>
            </w:r>
            <w:r w:rsidR="002B7F8E">
              <w:rPr>
                <w:rFonts w:ascii="Arial" w:hAnsi="Arial" w:cs="Arial"/>
                <w:sz w:val="18"/>
                <w:szCs w:val="18"/>
              </w:rPr>
              <w:t xml:space="preserve">Kearney, NE and one in </w:t>
            </w:r>
            <w:r w:rsidRPr="005A66AD">
              <w:rPr>
                <w:rFonts w:ascii="Arial" w:hAnsi="Arial" w:cs="Arial"/>
                <w:sz w:val="18"/>
                <w:szCs w:val="18"/>
              </w:rPr>
              <w:t>Grand Island</w:t>
            </w:r>
            <w:r w:rsidR="002B7F8E">
              <w:rPr>
                <w:rFonts w:ascii="Arial" w:hAnsi="Arial" w:cs="Arial"/>
                <w:sz w:val="18"/>
                <w:szCs w:val="18"/>
              </w:rPr>
              <w:t xml:space="preserve">. Provide suggested site locations. </w:t>
            </w:r>
          </w:p>
        </w:tc>
      </w:tr>
      <w:tr w:rsidR="005A66AD" w:rsidRPr="005A66AD" w14:paraId="5C0B9CC6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46183F89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2B4A4A28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458F575D" w14:textId="77777777" w:rsidTr="005A66AD">
        <w:trPr>
          <w:trHeight w:val="647"/>
        </w:trPr>
        <w:tc>
          <w:tcPr>
            <w:tcW w:w="367" w:type="dxa"/>
            <w:vMerge w:val="restart"/>
            <w:noWrap/>
            <w:hideMark/>
          </w:tcPr>
          <w:p w14:paraId="448A3344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168" w:type="dxa"/>
            <w:gridSpan w:val="5"/>
            <w:hideMark/>
          </w:tcPr>
          <w:p w14:paraId="04DDA1A8" w14:textId="53EE4BFC" w:rsidR="005A66AD" w:rsidRPr="005A66AD" w:rsidRDefault="005A66AD" w:rsidP="00E11DCF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Establish arrival and departure times to optimally serve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Passengers.  Vehicles shall be onsite within (15) minutes of agreed arrival times and available for loading and unloading within (15) minutes of agreed departure times.</w:t>
            </w:r>
            <w:r w:rsidR="002B7F8E">
              <w:rPr>
                <w:rFonts w:ascii="Arial" w:hAnsi="Arial" w:cs="Arial"/>
                <w:sz w:val="18"/>
                <w:szCs w:val="18"/>
              </w:rPr>
              <w:t xml:space="preserve">  Provide arrival time preparation procedures, loading and unloading processes to meet schedule times.</w:t>
            </w:r>
          </w:p>
        </w:tc>
      </w:tr>
      <w:tr w:rsidR="005A66AD" w:rsidRPr="005A66AD" w14:paraId="4EBBEE83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27176081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46DE06E9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32B13D47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1AB9F793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168" w:type="dxa"/>
            <w:gridSpan w:val="5"/>
            <w:hideMark/>
          </w:tcPr>
          <w:p w14:paraId="6B5B9007" w14:textId="1BFB0830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Must maintain an accurate manifest of Passengers.</w:t>
            </w:r>
            <w:r w:rsidR="002B7932">
              <w:rPr>
                <w:rFonts w:ascii="Arial" w:hAnsi="Arial" w:cs="Arial"/>
                <w:sz w:val="18"/>
                <w:szCs w:val="18"/>
              </w:rPr>
              <w:t xml:space="preserve"> Describe process for logging information.</w:t>
            </w:r>
          </w:p>
        </w:tc>
      </w:tr>
      <w:tr w:rsidR="005A66AD" w:rsidRPr="005A66AD" w14:paraId="4E99180F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54889373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168D87A2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781648EE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623CD8DB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168" w:type="dxa"/>
            <w:gridSpan w:val="5"/>
            <w:hideMark/>
          </w:tcPr>
          <w:p w14:paraId="5358287E" w14:textId="705E6876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Contractor must maintain availability of drivers and vehicles for transportation services</w:t>
            </w:r>
            <w:r w:rsidR="002B7F8E">
              <w:rPr>
                <w:rFonts w:ascii="Arial" w:hAnsi="Arial" w:cs="Arial"/>
                <w:sz w:val="18"/>
                <w:szCs w:val="18"/>
              </w:rPr>
              <w:t xml:space="preserve">. Describe driver roster process. </w:t>
            </w:r>
          </w:p>
        </w:tc>
      </w:tr>
      <w:tr w:rsidR="005A66AD" w:rsidRPr="005A66AD" w14:paraId="140353F0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09F8C687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27E4EA75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62E254E9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5EB7D1F6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168" w:type="dxa"/>
            <w:gridSpan w:val="5"/>
            <w:hideMark/>
          </w:tcPr>
          <w:p w14:paraId="4CFEB7E9" w14:textId="5BC03366" w:rsidR="005A66AD" w:rsidRPr="005A66AD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Contractor must be able to respond to changing needs (quantity of passengers, frequency of trips or </w:t>
            </w:r>
            <w:r w:rsidR="00D0317A" w:rsidRPr="005A66AD">
              <w:rPr>
                <w:rFonts w:ascii="Arial" w:hAnsi="Arial" w:cs="Arial"/>
                <w:sz w:val="18"/>
                <w:szCs w:val="18"/>
              </w:rPr>
              <w:t>alternate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routes).</w:t>
            </w:r>
            <w:r w:rsidR="002B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05">
              <w:rPr>
                <w:rFonts w:ascii="Arial" w:hAnsi="Arial" w:cs="Arial"/>
                <w:sz w:val="18"/>
                <w:szCs w:val="18"/>
              </w:rPr>
              <w:t>D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escribe your process for when a change is requested and how much lead time need</w:t>
            </w:r>
            <w:r w:rsidR="00D66705">
              <w:rPr>
                <w:rFonts w:ascii="Arial" w:hAnsi="Arial" w:cs="Arial"/>
                <w:sz w:val="18"/>
                <w:szCs w:val="18"/>
              </w:rPr>
              <w:t>ed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to complete the request.</w:t>
            </w:r>
            <w:r w:rsidR="00D031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6AD" w:rsidRPr="005A66AD" w14:paraId="58A6F303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1FE064BC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7E853DF6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50A77B4F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17C5A29E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9168" w:type="dxa"/>
            <w:gridSpan w:val="5"/>
            <w:hideMark/>
          </w:tcPr>
          <w:p w14:paraId="13FC49CA" w14:textId="4CAF290D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Contractor must maintain</w:t>
            </w:r>
            <w:r w:rsidR="00DF3696">
              <w:rPr>
                <w:rFonts w:ascii="Arial" w:hAnsi="Arial" w:cs="Arial"/>
                <w:sz w:val="18"/>
                <w:szCs w:val="18"/>
              </w:rPr>
              <w:t xml:space="preserve"> regular communication with NDVA</w:t>
            </w:r>
            <w:r w:rsidR="0084526B">
              <w:rPr>
                <w:rFonts w:ascii="Arial" w:hAnsi="Arial" w:cs="Arial"/>
                <w:sz w:val="18"/>
                <w:szCs w:val="18"/>
              </w:rPr>
              <w:t xml:space="preserve"> on a daily basis, Monday through Friday. </w:t>
            </w:r>
            <w:r w:rsidR="002B7F8E">
              <w:rPr>
                <w:rFonts w:ascii="Arial" w:hAnsi="Arial" w:cs="Arial"/>
                <w:sz w:val="18"/>
                <w:szCs w:val="18"/>
              </w:rPr>
              <w:t xml:space="preserve"> Describe communication process with clients.</w:t>
            </w:r>
          </w:p>
        </w:tc>
      </w:tr>
      <w:tr w:rsidR="005A66AD" w:rsidRPr="005A66AD" w14:paraId="5FF7EA00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443276FE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F0BBA53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7CFB8D7A" w14:textId="77777777" w:rsidTr="005A66AD">
        <w:trPr>
          <w:trHeight w:val="270"/>
        </w:trPr>
        <w:tc>
          <w:tcPr>
            <w:tcW w:w="367" w:type="dxa"/>
            <w:noWrap/>
            <w:hideMark/>
          </w:tcPr>
          <w:p w14:paraId="44D8F8C3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68" w:type="dxa"/>
            <w:gridSpan w:val="5"/>
            <w:hideMark/>
          </w:tcPr>
          <w:p w14:paraId="52CC26DB" w14:textId="77777777" w:rsidR="005A66AD" w:rsidRPr="005A66AD" w:rsidRDefault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Vehicles</w:t>
            </w:r>
          </w:p>
        </w:tc>
      </w:tr>
      <w:tr w:rsidR="005A66AD" w:rsidRPr="005A66AD" w14:paraId="08EA00AE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596F6D11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9168" w:type="dxa"/>
            <w:gridSpan w:val="5"/>
            <w:hideMark/>
          </w:tcPr>
          <w:p w14:paraId="22B806CF" w14:textId="6D3922A7" w:rsidR="005A66AD" w:rsidRPr="005A66AD" w:rsidRDefault="005A66AD" w:rsidP="00ED2561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Transportation services must be provided in suitable vehicles that meet all applicable State and Federal requirements</w:t>
            </w:r>
            <w:r w:rsidR="00ED2561">
              <w:rPr>
                <w:rFonts w:ascii="Arial" w:hAnsi="Arial" w:cs="Arial"/>
                <w:sz w:val="18"/>
                <w:szCs w:val="18"/>
              </w:rPr>
              <w:t xml:space="preserve">; such as, but not limited to NDOT, DOT, OSHA, ADA and CSA. </w:t>
            </w:r>
            <w:r w:rsidR="000F6FD2">
              <w:rPr>
                <w:rFonts w:ascii="Arial" w:hAnsi="Arial" w:cs="Arial"/>
                <w:sz w:val="18"/>
                <w:szCs w:val="18"/>
              </w:rPr>
              <w:t xml:space="preserve"> Provide copies of </w:t>
            </w:r>
            <w:r w:rsidR="00DB5800">
              <w:rPr>
                <w:rFonts w:ascii="Arial" w:hAnsi="Arial" w:cs="Arial"/>
                <w:sz w:val="18"/>
                <w:szCs w:val="18"/>
              </w:rPr>
              <w:t xml:space="preserve">inspection </w:t>
            </w:r>
            <w:r w:rsidR="000F6FD2">
              <w:rPr>
                <w:rFonts w:ascii="Arial" w:hAnsi="Arial" w:cs="Arial"/>
                <w:sz w:val="18"/>
                <w:szCs w:val="18"/>
              </w:rPr>
              <w:t xml:space="preserve">safety certificates. </w:t>
            </w:r>
          </w:p>
        </w:tc>
      </w:tr>
      <w:tr w:rsidR="005A66AD" w:rsidRPr="005A66AD" w14:paraId="18C472A5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1428BFA5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7A4CEBC3" w14:textId="77777777" w:rsidR="00343B22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  <w:p w14:paraId="73FD9B56" w14:textId="77777777" w:rsidR="00343B22" w:rsidRPr="00343B22" w:rsidRDefault="00343B22" w:rsidP="00343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D2A0D" w14:textId="77777777" w:rsidR="00343B22" w:rsidRPr="00343B22" w:rsidRDefault="00343B22" w:rsidP="00343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31FA5" w14:textId="77777777" w:rsidR="00343B22" w:rsidRDefault="00343B22" w:rsidP="00343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1DE80" w14:textId="77777777" w:rsidR="00343B22" w:rsidRPr="00343B22" w:rsidRDefault="00343B22" w:rsidP="00343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19B01" w14:textId="77777777" w:rsidR="005A66AD" w:rsidRPr="00343B22" w:rsidRDefault="005A66AD" w:rsidP="00343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7FBF9785" w14:textId="77777777" w:rsidTr="005A66AD">
        <w:trPr>
          <w:trHeight w:val="710"/>
        </w:trPr>
        <w:tc>
          <w:tcPr>
            <w:tcW w:w="367" w:type="dxa"/>
            <w:vMerge w:val="restart"/>
            <w:noWrap/>
            <w:hideMark/>
          </w:tcPr>
          <w:p w14:paraId="436EF264" w14:textId="77777777" w:rsidR="00D00295" w:rsidRPr="005A66AD" w:rsidRDefault="00D00295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168" w:type="dxa"/>
            <w:gridSpan w:val="5"/>
            <w:hideMark/>
          </w:tcPr>
          <w:p w14:paraId="0E6A548F" w14:textId="66075CEF" w:rsidR="00D00295" w:rsidRDefault="00D00295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Bidder must provide with their bid response the current list of vehicles proposed, including, quantity, type (make </w:t>
            </w:r>
            <w:r w:rsidR="00E11DC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model), condition (including mileage on vehicles and tires), vehicle amenities (seating, heat, air conditioning, wireless internet, etc.)  </w:t>
            </w:r>
            <w:r w:rsidR="00453DA9">
              <w:rPr>
                <w:rFonts w:ascii="Arial" w:hAnsi="Arial" w:cs="Arial"/>
                <w:sz w:val="18"/>
                <w:szCs w:val="18"/>
              </w:rPr>
              <w:t>P</w:t>
            </w:r>
            <w:r w:rsidRPr="00D00295">
              <w:rPr>
                <w:rFonts w:ascii="Arial" w:hAnsi="Arial" w:cs="Arial"/>
                <w:sz w:val="18"/>
                <w:szCs w:val="18"/>
              </w:rPr>
              <w:t>rovide your current fleet listing.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66AD">
              <w:rPr>
                <w:rFonts w:ascii="Arial" w:hAnsi="Arial" w:cs="Arial"/>
                <w:sz w:val="18"/>
                <w:szCs w:val="18"/>
              </w:rPr>
              <w:t>Contractor will report any changes to the list for the duration of the contract.</w:t>
            </w:r>
          </w:p>
          <w:p w14:paraId="1255C6FD" w14:textId="2D7F79A4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16B40D76" w14:textId="77777777" w:rsidTr="00D00295">
        <w:trPr>
          <w:trHeight w:val="242"/>
        </w:trPr>
        <w:tc>
          <w:tcPr>
            <w:tcW w:w="367" w:type="dxa"/>
            <w:vMerge/>
            <w:hideMark/>
          </w:tcPr>
          <w:p w14:paraId="7424D1AF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438D16E4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D00295" w:rsidRPr="005A66AD" w14:paraId="62F6D6CA" w14:textId="77777777" w:rsidTr="00D00295">
        <w:trPr>
          <w:trHeight w:val="49"/>
        </w:trPr>
        <w:tc>
          <w:tcPr>
            <w:tcW w:w="367" w:type="dxa"/>
            <w:vMerge/>
          </w:tcPr>
          <w:p w14:paraId="562920A3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</w:tcPr>
          <w:p w14:paraId="5DCFE4F1" w14:textId="2E2EE775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Vehicles Bid</w:t>
            </w:r>
          </w:p>
        </w:tc>
        <w:tc>
          <w:tcPr>
            <w:tcW w:w="1440" w:type="dxa"/>
          </w:tcPr>
          <w:p w14:paraId="0B8EDE20" w14:textId="4603B1AB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52" w:type="dxa"/>
          </w:tcPr>
          <w:p w14:paraId="02EC2CAC" w14:textId="4E82A3FA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834" w:type="dxa"/>
          </w:tcPr>
          <w:p w14:paraId="397A7B0E" w14:textId="71B85EB3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Quantity Available</w:t>
            </w:r>
          </w:p>
        </w:tc>
        <w:tc>
          <w:tcPr>
            <w:tcW w:w="1834" w:type="dxa"/>
          </w:tcPr>
          <w:p w14:paraId="02D5E675" w14:textId="6010857B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Handicapped Accessible</w:t>
            </w:r>
          </w:p>
        </w:tc>
      </w:tr>
      <w:tr w:rsidR="00D00295" w:rsidRPr="005A66AD" w14:paraId="3011480D" w14:textId="77777777" w:rsidTr="00D00295">
        <w:trPr>
          <w:trHeight w:val="46"/>
        </w:trPr>
        <w:tc>
          <w:tcPr>
            <w:tcW w:w="367" w:type="dxa"/>
            <w:vMerge/>
          </w:tcPr>
          <w:p w14:paraId="7571EB8E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469787F6" w14:textId="5C53B42A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6 Passenger Vehicle</w:t>
            </w:r>
          </w:p>
        </w:tc>
        <w:tc>
          <w:tcPr>
            <w:tcW w:w="1440" w:type="dxa"/>
          </w:tcPr>
          <w:p w14:paraId="3E47B15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F6B7A0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3935181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E66928F" w14:textId="0B473A62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0326EA31" w14:textId="77777777" w:rsidTr="00D00295">
        <w:trPr>
          <w:trHeight w:val="46"/>
        </w:trPr>
        <w:tc>
          <w:tcPr>
            <w:tcW w:w="367" w:type="dxa"/>
            <w:vMerge/>
          </w:tcPr>
          <w:p w14:paraId="2205D4DF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6514F1A3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86F58B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786D4F3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AA44710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54C420B0" w14:textId="43AD2944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6560A7E2" w14:textId="77777777" w:rsidTr="00D00295">
        <w:trPr>
          <w:trHeight w:val="46"/>
        </w:trPr>
        <w:tc>
          <w:tcPr>
            <w:tcW w:w="367" w:type="dxa"/>
            <w:vMerge/>
          </w:tcPr>
          <w:p w14:paraId="06F2FCA5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48C8980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7D382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8E03AC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3D3C0C35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32D30B2E" w14:textId="4943CAD1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40956008" w14:textId="77777777" w:rsidTr="00D00295">
        <w:trPr>
          <w:trHeight w:val="46"/>
        </w:trPr>
        <w:tc>
          <w:tcPr>
            <w:tcW w:w="367" w:type="dxa"/>
            <w:vMerge/>
          </w:tcPr>
          <w:p w14:paraId="4815854C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2A2B34EC" w14:textId="05EEFF1C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15 Passenger Vehicle</w:t>
            </w:r>
          </w:p>
        </w:tc>
        <w:tc>
          <w:tcPr>
            <w:tcW w:w="1440" w:type="dxa"/>
          </w:tcPr>
          <w:p w14:paraId="5699FD00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C8BDCD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CA3F6E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CA77DE3" w14:textId="7726E4FA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54BC5CED" w14:textId="77777777" w:rsidTr="00D00295">
        <w:trPr>
          <w:trHeight w:val="46"/>
        </w:trPr>
        <w:tc>
          <w:tcPr>
            <w:tcW w:w="367" w:type="dxa"/>
            <w:vMerge/>
          </w:tcPr>
          <w:p w14:paraId="3D91E26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0D60582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422B88B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30E8750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5F69C13B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0A77EE8" w14:textId="6DBD2C7B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690254BD" w14:textId="77777777" w:rsidTr="00D00295">
        <w:trPr>
          <w:trHeight w:val="46"/>
        </w:trPr>
        <w:tc>
          <w:tcPr>
            <w:tcW w:w="367" w:type="dxa"/>
            <w:vMerge/>
          </w:tcPr>
          <w:p w14:paraId="5945D75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0FAB213F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272DF4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11AA8BC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6C7E58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76356B5" w14:textId="7206F32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13E4F073" w14:textId="77777777" w:rsidTr="00D00295">
        <w:trPr>
          <w:trHeight w:val="46"/>
        </w:trPr>
        <w:tc>
          <w:tcPr>
            <w:tcW w:w="367" w:type="dxa"/>
            <w:vMerge/>
          </w:tcPr>
          <w:p w14:paraId="1979C19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0D03DBB3" w14:textId="32E99B08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25 Passenger Vehicle</w:t>
            </w:r>
          </w:p>
        </w:tc>
        <w:tc>
          <w:tcPr>
            <w:tcW w:w="1440" w:type="dxa"/>
          </w:tcPr>
          <w:p w14:paraId="68101115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B6C2F2A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05A449D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F0452AF" w14:textId="4EAAE444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30FC5C11" w14:textId="77777777" w:rsidTr="00D00295">
        <w:trPr>
          <w:trHeight w:val="46"/>
        </w:trPr>
        <w:tc>
          <w:tcPr>
            <w:tcW w:w="367" w:type="dxa"/>
            <w:vMerge/>
          </w:tcPr>
          <w:p w14:paraId="50E91C6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76E273E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8855BE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F2397D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384F4A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9F39734" w14:textId="4912F233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7821B1BC" w14:textId="77777777" w:rsidTr="00D00295">
        <w:trPr>
          <w:trHeight w:val="46"/>
        </w:trPr>
        <w:tc>
          <w:tcPr>
            <w:tcW w:w="367" w:type="dxa"/>
            <w:vMerge/>
          </w:tcPr>
          <w:p w14:paraId="5C64B82A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36E47DC2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B94AF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3D7E27F2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BCF4190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EFA01BF" w14:textId="718282E5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21D807DC" w14:textId="77777777" w:rsidTr="00D00295">
        <w:trPr>
          <w:trHeight w:val="46"/>
        </w:trPr>
        <w:tc>
          <w:tcPr>
            <w:tcW w:w="367" w:type="dxa"/>
            <w:vMerge/>
          </w:tcPr>
          <w:p w14:paraId="3FAC5FB9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3D76A5BD" w14:textId="6FAC394D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 Passenger Vehicle</w:t>
            </w:r>
          </w:p>
        </w:tc>
        <w:tc>
          <w:tcPr>
            <w:tcW w:w="1440" w:type="dxa"/>
          </w:tcPr>
          <w:p w14:paraId="0BC10D2B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822E55E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3DC60A3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52E121BC" w14:textId="6F662A6E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4B79600F" w14:textId="77777777" w:rsidTr="00D00295">
        <w:trPr>
          <w:trHeight w:val="46"/>
        </w:trPr>
        <w:tc>
          <w:tcPr>
            <w:tcW w:w="367" w:type="dxa"/>
            <w:vMerge/>
          </w:tcPr>
          <w:p w14:paraId="77B23F3C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68DD9F7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93B79A4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19B64127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FEE2DF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C30E978" w14:textId="1D6FE62A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95" w:rsidRPr="005A66AD" w14:paraId="4BC21065" w14:textId="77777777" w:rsidTr="00D00295">
        <w:trPr>
          <w:trHeight w:val="46"/>
        </w:trPr>
        <w:tc>
          <w:tcPr>
            <w:tcW w:w="367" w:type="dxa"/>
            <w:vMerge/>
          </w:tcPr>
          <w:p w14:paraId="0A66F386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74EB560A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50AF15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9595CF8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450739C" w14:textId="77777777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A990784" w14:textId="026EEF9F" w:rsidR="00D00295" w:rsidRPr="005A66AD" w:rsidRDefault="00D00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AD" w:rsidRPr="008B21F1" w14:paraId="7BA4FE23" w14:textId="77777777" w:rsidTr="005A66AD">
        <w:trPr>
          <w:trHeight w:val="251"/>
        </w:trPr>
        <w:tc>
          <w:tcPr>
            <w:tcW w:w="367" w:type="dxa"/>
            <w:vMerge w:val="restart"/>
            <w:noWrap/>
            <w:hideMark/>
          </w:tcPr>
          <w:p w14:paraId="1475192C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9168" w:type="dxa"/>
            <w:gridSpan w:val="5"/>
            <w:hideMark/>
          </w:tcPr>
          <w:p w14:paraId="6B537464" w14:textId="5227651B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 xml:space="preserve">Vehicle inspection and maintenance logs must be kept and will be made available to 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>NDVA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upon request.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rovide a copy of your vehicle inspection and maintenance logs.</w:t>
            </w:r>
          </w:p>
        </w:tc>
      </w:tr>
      <w:tr w:rsidR="005A66AD" w:rsidRPr="008B21F1" w14:paraId="08183110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03B66E71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8B7A3EB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8B21F1" w14:paraId="08760601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231ED941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9168" w:type="dxa"/>
            <w:gridSpan w:val="5"/>
            <w:hideMark/>
          </w:tcPr>
          <w:p w14:paraId="71814D0E" w14:textId="78819305" w:rsidR="005A66AD" w:rsidRPr="008B21F1" w:rsidRDefault="005A66AD" w:rsidP="00DC0B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GPS Tracking included, on board camera(s) optional.</w:t>
            </w:r>
            <w:r w:rsidR="00DC0BAD">
              <w:rPr>
                <w:rFonts w:ascii="Arial" w:hAnsi="Arial" w:cs="Arial"/>
                <w:sz w:val="18"/>
                <w:szCs w:val="18"/>
              </w:rPr>
              <w:t xml:space="preserve">  If not,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 provide reasoning why </w:t>
            </w:r>
            <w:r w:rsidR="00D66705">
              <w:rPr>
                <w:rFonts w:ascii="Arial" w:hAnsi="Arial" w:cs="Arial"/>
                <w:sz w:val="18"/>
                <w:szCs w:val="18"/>
              </w:rPr>
              <w:t>no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 GPS Tracking</w:t>
            </w:r>
            <w:r w:rsidR="00D66705">
              <w:rPr>
                <w:rFonts w:ascii="Arial" w:hAnsi="Arial" w:cs="Arial"/>
                <w:sz w:val="18"/>
                <w:szCs w:val="18"/>
              </w:rPr>
              <w:t xml:space="preserve"> is available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66AD" w:rsidRPr="008B21F1" w14:paraId="1B266FAF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32D107D7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182694C8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8B21F1" w14:paraId="55C41B0C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2C975ACD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9168" w:type="dxa"/>
            <w:gridSpan w:val="5"/>
            <w:hideMark/>
          </w:tcPr>
          <w:p w14:paraId="4583363A" w14:textId="558947C1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Contractor must have availability of handicap accessible vehicle(s).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6705">
              <w:rPr>
                <w:rFonts w:ascii="Arial" w:hAnsi="Arial" w:cs="Arial"/>
                <w:sz w:val="18"/>
                <w:szCs w:val="18"/>
              </w:rPr>
              <w:t>S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pecify specific vehicles that is in your fleet that offer this capability.</w:t>
            </w:r>
          </w:p>
        </w:tc>
      </w:tr>
      <w:tr w:rsidR="005A66AD" w:rsidRPr="008B21F1" w14:paraId="04DD1AA5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5F4E7C3D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61012B0A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8B21F1" w14:paraId="68467A6C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3153D0A8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9168" w:type="dxa"/>
            <w:gridSpan w:val="5"/>
            <w:hideMark/>
          </w:tcPr>
          <w:p w14:paraId="77789704" w14:textId="31B76B40" w:rsidR="005A66AD" w:rsidRPr="008B21F1" w:rsidRDefault="005A66AD" w:rsidP="00DC0B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 xml:space="preserve">Contractor must be able to provide vehicle(s) to meet changing passenger/trip volume, in accordance with the schedule and manifest provided by 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NDVA.  Please </w:t>
            </w:r>
            <w:r w:rsidR="00D66705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the minimum time frame </w:t>
            </w:r>
            <w:r w:rsidR="00D66705">
              <w:rPr>
                <w:rFonts w:ascii="Arial" w:hAnsi="Arial" w:cs="Arial"/>
                <w:sz w:val="18"/>
                <w:szCs w:val="18"/>
              </w:rPr>
              <w:t xml:space="preserve">needed 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to change the capacity or type of vehicle.</w:t>
            </w:r>
          </w:p>
        </w:tc>
      </w:tr>
      <w:tr w:rsidR="005A66AD" w:rsidRPr="005A66AD" w14:paraId="6F1CE2A4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72D378BE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35CC065D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20A118B2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422FAB02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9168" w:type="dxa"/>
            <w:gridSpan w:val="5"/>
            <w:hideMark/>
          </w:tcPr>
          <w:p w14:paraId="39C04844" w14:textId="07468E66" w:rsidR="005A66AD" w:rsidRPr="005A66AD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Vehicles must be kept clean and neat, inside and out.</w:t>
            </w:r>
            <w:r w:rsidR="00817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rovide your policy.</w:t>
            </w:r>
          </w:p>
        </w:tc>
      </w:tr>
      <w:tr w:rsidR="005A66AD" w:rsidRPr="005A66AD" w14:paraId="2388BA5D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5F3D1CC9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468626BB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7BE1F287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4F6240E0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9168" w:type="dxa"/>
            <w:gridSpan w:val="5"/>
            <w:hideMark/>
          </w:tcPr>
          <w:p w14:paraId="075FA8F8" w14:textId="52976EDA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Contractor must have a lost and found policy.</w:t>
            </w:r>
            <w:r w:rsidR="00B86180">
              <w:rPr>
                <w:rFonts w:ascii="Arial" w:hAnsi="Arial" w:cs="Arial"/>
                <w:sz w:val="18"/>
                <w:szCs w:val="18"/>
              </w:rPr>
              <w:t xml:space="preserve"> Provide policy.</w:t>
            </w:r>
          </w:p>
        </w:tc>
      </w:tr>
      <w:tr w:rsidR="005A66AD" w:rsidRPr="008B21F1" w14:paraId="06DBDA68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26222D57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83225AC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8B21F1" w14:paraId="1FE9C599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3B566D9F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1F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8B21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68" w:type="dxa"/>
            <w:gridSpan w:val="5"/>
            <w:hideMark/>
          </w:tcPr>
          <w:p w14:paraId="7DB83C2F" w14:textId="0D203F60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Vehicles must be No</w:t>
            </w:r>
            <w:r w:rsidR="00B86180" w:rsidRPr="008B21F1">
              <w:rPr>
                <w:rFonts w:ascii="Arial" w:hAnsi="Arial" w:cs="Arial"/>
                <w:sz w:val="18"/>
                <w:szCs w:val="18"/>
              </w:rPr>
              <w:t>n</w:t>
            </w:r>
            <w:r w:rsidRPr="008B21F1">
              <w:rPr>
                <w:rFonts w:ascii="Arial" w:hAnsi="Arial" w:cs="Arial"/>
                <w:sz w:val="18"/>
                <w:szCs w:val="18"/>
              </w:rPr>
              <w:t>-Smoking.</w:t>
            </w:r>
            <w:r w:rsidR="00B86180" w:rsidRPr="008B2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rovide your policy.</w:t>
            </w:r>
          </w:p>
        </w:tc>
      </w:tr>
      <w:tr w:rsidR="005A66AD" w:rsidRPr="005A66AD" w14:paraId="4D5F6206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664E2F0F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6070404B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05BADCA3" w14:textId="77777777" w:rsidTr="005A66AD">
        <w:trPr>
          <w:trHeight w:val="270"/>
        </w:trPr>
        <w:tc>
          <w:tcPr>
            <w:tcW w:w="367" w:type="dxa"/>
            <w:noWrap/>
            <w:hideMark/>
          </w:tcPr>
          <w:p w14:paraId="5F4065C8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68" w:type="dxa"/>
            <w:gridSpan w:val="5"/>
            <w:hideMark/>
          </w:tcPr>
          <w:p w14:paraId="448D8F2F" w14:textId="77777777" w:rsidR="005A66AD" w:rsidRPr="005A66AD" w:rsidRDefault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Drivers</w:t>
            </w:r>
          </w:p>
        </w:tc>
      </w:tr>
      <w:tr w:rsidR="005A66AD" w:rsidRPr="005A66AD" w14:paraId="2927FFF2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6CAF1588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9168" w:type="dxa"/>
            <w:gridSpan w:val="5"/>
            <w:hideMark/>
          </w:tcPr>
          <w:p w14:paraId="13D9E4B7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Contractor must verify that all Drivers provided by the Contractor:</w:t>
            </w:r>
          </w:p>
        </w:tc>
      </w:tr>
      <w:tr w:rsidR="005A66AD" w:rsidRPr="005A66AD" w14:paraId="792D87E6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7E92BAFB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E1C27BE" w14:textId="7B88B4B2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6A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A66AD">
              <w:rPr>
                <w:rFonts w:ascii="Arial" w:hAnsi="Arial" w:cs="Arial"/>
                <w:sz w:val="18"/>
                <w:szCs w:val="18"/>
              </w:rPr>
              <w:t>.   Maintain proper licensure to operate vehicle provided in capacity of this contract</w:t>
            </w:r>
            <w:r w:rsidR="00B86180">
              <w:rPr>
                <w:rFonts w:ascii="Arial" w:hAnsi="Arial" w:cs="Arial"/>
                <w:sz w:val="18"/>
                <w:szCs w:val="18"/>
              </w:rPr>
              <w:t>. Provide copies of licensures.</w:t>
            </w:r>
          </w:p>
        </w:tc>
      </w:tr>
      <w:tr w:rsidR="005A66AD" w:rsidRPr="005A66AD" w14:paraId="117E5417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62C387A0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236F5BF" w14:textId="390DD95F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ii</w:t>
            </w:r>
            <w:r w:rsidR="008B21F1" w:rsidRPr="005A66AD">
              <w:rPr>
                <w:rFonts w:ascii="Arial" w:hAnsi="Arial" w:cs="Arial"/>
                <w:sz w:val="18"/>
                <w:szCs w:val="18"/>
              </w:rPr>
              <w:t>. Drivers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must be trained</w:t>
            </w:r>
            <w:r w:rsidR="00B86180">
              <w:rPr>
                <w:rFonts w:ascii="Arial" w:hAnsi="Arial" w:cs="Arial"/>
                <w:sz w:val="18"/>
                <w:szCs w:val="18"/>
              </w:rPr>
              <w:t xml:space="preserve">. Provide list of training given to drivers. </w:t>
            </w:r>
          </w:p>
        </w:tc>
      </w:tr>
      <w:tr w:rsidR="005A66AD" w:rsidRPr="005A66AD" w14:paraId="67A7EFD2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366CB693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3A4E313" w14:textId="44D276D4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iii. Meet all Department of Transportation (“DOT”) requirements</w:t>
            </w:r>
            <w:r w:rsidR="00CC4CAC">
              <w:rPr>
                <w:rFonts w:ascii="Arial" w:hAnsi="Arial" w:cs="Arial"/>
                <w:sz w:val="18"/>
                <w:szCs w:val="18"/>
              </w:rPr>
              <w:t>:</w:t>
            </w:r>
            <w:r w:rsidR="00B86180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6" w:history="1">
              <w:r w:rsidR="00CC4CAC" w:rsidRPr="00A025D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https://dot.nebraska.gov/</w:t>
              </w:r>
            </w:hyperlink>
            <w:r w:rsidR="00CC4C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6AD" w:rsidRPr="005A66AD" w14:paraId="173E4F93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30A833AA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3FD2DB92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8B21F1" w14:paraId="5F374467" w14:textId="77777777" w:rsidTr="005A66AD">
        <w:trPr>
          <w:trHeight w:val="314"/>
        </w:trPr>
        <w:tc>
          <w:tcPr>
            <w:tcW w:w="367" w:type="dxa"/>
            <w:vMerge w:val="restart"/>
            <w:noWrap/>
            <w:hideMark/>
          </w:tcPr>
          <w:p w14:paraId="4C7F8495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168" w:type="dxa"/>
            <w:gridSpan w:val="5"/>
            <w:hideMark/>
          </w:tcPr>
          <w:p w14:paraId="530E1B39" w14:textId="1B45EC1A" w:rsidR="005A66AD" w:rsidRPr="008B21F1" w:rsidRDefault="005A66AD" w:rsidP="00453DA9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 xml:space="preserve">Contractor must conduct the following screenings and provide results to </w:t>
            </w:r>
            <w:r w:rsidR="00817F73" w:rsidRPr="008B21F1">
              <w:rPr>
                <w:rFonts w:ascii="Arial" w:hAnsi="Arial" w:cs="Arial"/>
                <w:sz w:val="18"/>
                <w:szCs w:val="18"/>
              </w:rPr>
              <w:t>NDVA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prior </w:t>
            </w:r>
            <w:r w:rsidR="00453DA9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8B21F1">
              <w:rPr>
                <w:rFonts w:ascii="Arial" w:hAnsi="Arial" w:cs="Arial"/>
                <w:sz w:val="18"/>
                <w:szCs w:val="18"/>
              </w:rPr>
              <w:t>starting</w:t>
            </w:r>
            <w:r w:rsidR="00453DA9">
              <w:rPr>
                <w:rFonts w:ascii="Arial" w:hAnsi="Arial" w:cs="Arial"/>
                <w:sz w:val="18"/>
                <w:szCs w:val="18"/>
              </w:rPr>
              <w:t>.</w:t>
            </w:r>
            <w:r w:rsidR="00DC0B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DA9">
              <w:rPr>
                <w:rFonts w:ascii="Arial" w:hAnsi="Arial" w:cs="Arial"/>
                <w:sz w:val="18"/>
                <w:szCs w:val="18"/>
              </w:rPr>
              <w:t>P</w:t>
            </w:r>
            <w:r w:rsidR="00297825" w:rsidRPr="008B21F1">
              <w:rPr>
                <w:rFonts w:ascii="Arial" w:hAnsi="Arial" w:cs="Arial"/>
                <w:sz w:val="18"/>
                <w:szCs w:val="18"/>
              </w:rPr>
              <w:t>rovide policy</w:t>
            </w:r>
            <w:r w:rsidR="00453DA9">
              <w:rPr>
                <w:rFonts w:ascii="Arial" w:hAnsi="Arial" w:cs="Arial"/>
                <w:sz w:val="18"/>
                <w:szCs w:val="18"/>
              </w:rPr>
              <w:t xml:space="preserve"> regarding</w:t>
            </w:r>
            <w:r w:rsidRPr="008B21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A66AD" w:rsidRPr="008B21F1" w14:paraId="44FD1AF5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6648166E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76917331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1F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8B21F1">
              <w:rPr>
                <w:rFonts w:ascii="Arial" w:hAnsi="Arial" w:cs="Arial"/>
                <w:sz w:val="18"/>
                <w:szCs w:val="18"/>
              </w:rPr>
              <w:t>.   Background check</w:t>
            </w:r>
          </w:p>
        </w:tc>
      </w:tr>
      <w:tr w:rsidR="005A66AD" w:rsidRPr="005A66AD" w14:paraId="45581D90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3D000218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445D2B6F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ii.  Sex Offender</w:t>
            </w:r>
          </w:p>
        </w:tc>
      </w:tr>
      <w:tr w:rsidR="005A66AD" w:rsidRPr="005A66AD" w14:paraId="4B4699E9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6072E7CA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33331F5A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iii. Child Welfare, Juvenile and Adult Protective Services</w:t>
            </w:r>
          </w:p>
        </w:tc>
      </w:tr>
      <w:tr w:rsidR="005A66AD" w:rsidRPr="005A66AD" w14:paraId="7EE9D470" w14:textId="77777777" w:rsidTr="005A66AD">
        <w:trPr>
          <w:trHeight w:val="240"/>
        </w:trPr>
        <w:tc>
          <w:tcPr>
            <w:tcW w:w="367" w:type="dxa"/>
            <w:vMerge/>
            <w:hideMark/>
          </w:tcPr>
          <w:p w14:paraId="6E8B4DCB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71344FE4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iv. Drug Screen</w:t>
            </w:r>
          </w:p>
        </w:tc>
      </w:tr>
      <w:tr w:rsidR="005A66AD" w:rsidRPr="005A66AD" w14:paraId="2EEE01A4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6B87BB34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125B718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172B8DD0" w14:textId="77777777" w:rsidTr="005A66AD">
        <w:trPr>
          <w:trHeight w:val="710"/>
        </w:trPr>
        <w:tc>
          <w:tcPr>
            <w:tcW w:w="367" w:type="dxa"/>
            <w:vMerge w:val="restart"/>
            <w:noWrap/>
            <w:hideMark/>
          </w:tcPr>
          <w:p w14:paraId="7BC1B5F5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9168" w:type="dxa"/>
            <w:gridSpan w:val="5"/>
            <w:hideMark/>
          </w:tcPr>
          <w:p w14:paraId="516E7FD9" w14:textId="2CDB4B97" w:rsidR="005A66AD" w:rsidRPr="008B21F1" w:rsidRDefault="005A66AD" w:rsidP="00453DA9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 xml:space="preserve">Contractor must furnish and require name badges to be worn above the waist by contractor staff at all times while providing services for 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>NDVA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and while working in the 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 xml:space="preserve">NDVA </w:t>
            </w:r>
            <w:r w:rsidRPr="008B21F1">
              <w:rPr>
                <w:rFonts w:ascii="Arial" w:hAnsi="Arial" w:cs="Arial"/>
                <w:sz w:val="18"/>
                <w:szCs w:val="18"/>
              </w:rPr>
              <w:t>Facility.  Name badge shall include individual’s first and last name and Contractor name.</w:t>
            </w:r>
            <w:r w:rsidR="00297825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3DA9">
              <w:rPr>
                <w:rFonts w:ascii="Arial" w:hAnsi="Arial" w:cs="Arial"/>
                <w:sz w:val="18"/>
                <w:szCs w:val="18"/>
              </w:rPr>
              <w:t>P</w:t>
            </w:r>
            <w:r w:rsidR="00297825" w:rsidRPr="008B21F1">
              <w:rPr>
                <w:rFonts w:ascii="Arial" w:hAnsi="Arial" w:cs="Arial"/>
                <w:sz w:val="18"/>
                <w:szCs w:val="18"/>
              </w:rPr>
              <w:t>rovide an image example.</w:t>
            </w:r>
          </w:p>
        </w:tc>
      </w:tr>
      <w:tr w:rsidR="005A66AD" w:rsidRPr="005A66AD" w14:paraId="4E63E4E2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7CEC2034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99C5B36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1D385B45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695089C4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9168" w:type="dxa"/>
            <w:gridSpan w:val="5"/>
            <w:hideMark/>
          </w:tcPr>
          <w:p w14:paraId="51C211F9" w14:textId="2A59E157" w:rsidR="005A66AD" w:rsidRPr="005A66AD" w:rsidRDefault="005A66AD" w:rsidP="00453DA9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Drivers must observe No-Smoking policies at each location and during transport</w:t>
            </w:r>
            <w:r w:rsidRPr="008B21F1">
              <w:rPr>
                <w:rFonts w:ascii="Arial" w:hAnsi="Arial" w:cs="Arial"/>
                <w:sz w:val="18"/>
                <w:szCs w:val="18"/>
              </w:rPr>
              <w:t>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rovide a plan on how </w:t>
            </w:r>
            <w:r w:rsidR="00037F95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453DA9">
              <w:rPr>
                <w:rFonts w:ascii="Arial" w:hAnsi="Arial" w:cs="Arial"/>
                <w:sz w:val="18"/>
                <w:szCs w:val="18"/>
              </w:rPr>
              <w:t xml:space="preserve">accommodate 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drivers that smoke</w:t>
            </w:r>
            <w:r w:rsidR="00453DA9">
              <w:rPr>
                <w:rFonts w:ascii="Arial" w:hAnsi="Arial" w:cs="Arial"/>
                <w:sz w:val="18"/>
                <w:szCs w:val="18"/>
              </w:rPr>
              <w:t xml:space="preserve"> without breaking the No-Smoking policies. </w:t>
            </w:r>
            <w:r w:rsidR="00D031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6AD" w:rsidRPr="005A66AD" w14:paraId="1EEAEAD5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1612296E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1CC1FC0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330916DB" w14:textId="77777777" w:rsidTr="005A66AD">
        <w:trPr>
          <w:trHeight w:val="255"/>
        </w:trPr>
        <w:tc>
          <w:tcPr>
            <w:tcW w:w="367" w:type="dxa"/>
            <w:noWrap/>
            <w:hideMark/>
          </w:tcPr>
          <w:p w14:paraId="353FBE4D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68" w:type="dxa"/>
            <w:gridSpan w:val="5"/>
            <w:hideMark/>
          </w:tcPr>
          <w:p w14:paraId="69747067" w14:textId="77777777" w:rsidR="005A66AD" w:rsidRPr="005A66AD" w:rsidRDefault="00DF36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NDVA</w:t>
            </w:r>
            <w:r w:rsidR="005A66AD" w:rsidRPr="005A66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Regulations</w:t>
            </w:r>
          </w:p>
        </w:tc>
      </w:tr>
      <w:tr w:rsidR="005A66AD" w:rsidRPr="005A66AD" w14:paraId="783B69FB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7EBE9790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9168" w:type="dxa"/>
            <w:gridSpan w:val="5"/>
            <w:hideMark/>
          </w:tcPr>
          <w:p w14:paraId="70C95E81" w14:textId="15CBAA0E" w:rsidR="005A66AD" w:rsidRPr="005A66AD" w:rsidRDefault="005A66AD" w:rsidP="00037F95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Contractor must adhere to and inform contractor staff of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regulations prior to visiting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facilities and designated Sites.</w:t>
            </w:r>
            <w:r w:rsidR="00037F95">
              <w:rPr>
                <w:rFonts w:ascii="Arial" w:hAnsi="Arial" w:cs="Arial"/>
                <w:sz w:val="18"/>
                <w:szCs w:val="18"/>
              </w:rPr>
              <w:t xml:space="preserve">  Describe communication policy on how to share NDVA regulations with your staff.</w:t>
            </w:r>
          </w:p>
        </w:tc>
      </w:tr>
      <w:tr w:rsidR="005A66AD" w:rsidRPr="005A66AD" w14:paraId="60D0C676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1A5DAA69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165F4B19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6A00D3F6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445A888A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168" w:type="dxa"/>
            <w:gridSpan w:val="5"/>
            <w:hideMark/>
          </w:tcPr>
          <w:p w14:paraId="1752C4C0" w14:textId="3E0263BE" w:rsidR="00A66E62" w:rsidRDefault="00B93DBA" w:rsidP="00B93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NDVA regulations are located at the </w:t>
            </w:r>
            <w:r w:rsidR="00DF3696">
              <w:rPr>
                <w:rFonts w:ascii="Arial" w:hAnsi="Arial" w:cs="Arial"/>
                <w:sz w:val="18"/>
                <w:szCs w:val="18"/>
              </w:rPr>
              <w:t>DHHS</w:t>
            </w:r>
            <w:r w:rsidR="005A66AD" w:rsidRPr="005A66AD">
              <w:rPr>
                <w:rFonts w:ascii="Arial" w:hAnsi="Arial" w:cs="Arial"/>
                <w:sz w:val="18"/>
                <w:szCs w:val="18"/>
              </w:rPr>
              <w:t xml:space="preserve"> regulations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webpage: </w:t>
            </w:r>
            <w:r w:rsidR="005A66AD" w:rsidRPr="005A66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15B010" w14:textId="2EA846B0" w:rsidR="00A66E62" w:rsidRDefault="00766381" w:rsidP="00B93DB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" w:history="1">
              <w:r w:rsidR="00A66E62" w:rsidRPr="00A66E6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http://www.sos.ne.gov/rules-and-regs/regsearch/Rules/Health_and_Human_Services_System/Title-400/Chapter-1.pdf</w:t>
              </w:r>
            </w:hyperlink>
          </w:p>
          <w:p w14:paraId="08ACA8AE" w14:textId="0ED91B8E" w:rsidR="00037F95" w:rsidRPr="00DC0BAD" w:rsidRDefault="00037F95" w:rsidP="00B93DBA">
            <w:pPr>
              <w:rPr>
                <w:rFonts w:ascii="Arial" w:hAnsi="Arial" w:cs="Arial"/>
                <w:sz w:val="18"/>
                <w:szCs w:val="18"/>
              </w:rPr>
            </w:pPr>
            <w:r w:rsidRPr="00DC0BA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Describe regulation review and tracking plan.</w:t>
            </w:r>
          </w:p>
          <w:p w14:paraId="6034F0A5" w14:textId="2EC957D9" w:rsidR="005A66AD" w:rsidRPr="005A66AD" w:rsidRDefault="005A66AD" w:rsidP="00A66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AD" w:rsidRPr="005A66AD" w14:paraId="0760FA4F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3CD08565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269A454A" w14:textId="311FEA5E" w:rsidR="005A66AD" w:rsidRPr="00DF3696" w:rsidRDefault="005A66AD" w:rsidP="00B93DBA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  <w:r w:rsidR="00DF3696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5A66AD" w:rsidRPr="008B21F1" w14:paraId="1562C824" w14:textId="77777777" w:rsidTr="005A66AD">
        <w:trPr>
          <w:trHeight w:val="224"/>
        </w:trPr>
        <w:tc>
          <w:tcPr>
            <w:tcW w:w="367" w:type="dxa"/>
            <w:vMerge w:val="restart"/>
            <w:noWrap/>
            <w:hideMark/>
          </w:tcPr>
          <w:p w14:paraId="2E6F54AF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9168" w:type="dxa"/>
            <w:gridSpan w:val="5"/>
            <w:hideMark/>
          </w:tcPr>
          <w:p w14:paraId="001088F5" w14:textId="32D00640" w:rsidR="005A66AD" w:rsidRPr="008B21F1" w:rsidRDefault="005A66AD" w:rsidP="00453DA9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 xml:space="preserve">Prohibit Contractor staff that do not adhere to 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>NDVA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guidelines</w:t>
            </w:r>
            <w:r w:rsidR="00A66E62">
              <w:rPr>
                <w:rFonts w:ascii="Arial" w:hAnsi="Arial" w:cs="Arial"/>
                <w:sz w:val="18"/>
                <w:szCs w:val="18"/>
              </w:rPr>
              <w:t>, link provided above in 4.b.,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from providing services to 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>NDVA</w:t>
            </w:r>
            <w:r w:rsidRPr="008B21F1">
              <w:rPr>
                <w:rFonts w:ascii="Arial" w:hAnsi="Arial" w:cs="Arial"/>
                <w:sz w:val="18"/>
                <w:szCs w:val="18"/>
              </w:rPr>
              <w:t>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your HR process for handling staff that do not adhere to NDVA guidelines.</w:t>
            </w:r>
          </w:p>
        </w:tc>
      </w:tr>
      <w:tr w:rsidR="005A66AD" w:rsidRPr="008B21F1" w14:paraId="6FD51473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09A4DC35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14A09732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0A3B4BB8" w14:textId="77777777" w:rsidTr="005A66AD">
        <w:trPr>
          <w:trHeight w:val="255"/>
        </w:trPr>
        <w:tc>
          <w:tcPr>
            <w:tcW w:w="367" w:type="dxa"/>
            <w:noWrap/>
            <w:hideMark/>
          </w:tcPr>
          <w:p w14:paraId="5C7E6BC4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68" w:type="dxa"/>
            <w:gridSpan w:val="5"/>
            <w:hideMark/>
          </w:tcPr>
          <w:p w14:paraId="78F92CDE" w14:textId="77777777" w:rsidR="005A66AD" w:rsidRPr="005A66AD" w:rsidRDefault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Changes and Delays including Weather and Staffing</w:t>
            </w:r>
          </w:p>
        </w:tc>
      </w:tr>
      <w:tr w:rsidR="005A66AD" w:rsidRPr="008B21F1" w14:paraId="5DE73D42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1FD48A1E" w14:textId="77777777" w:rsidR="005A66AD" w:rsidRPr="008B21F1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9168" w:type="dxa"/>
            <w:gridSpan w:val="5"/>
            <w:hideMark/>
          </w:tcPr>
          <w:p w14:paraId="37C3642F" w14:textId="0EBD4CFC" w:rsidR="005A66AD" w:rsidRPr="008B21F1" w:rsidRDefault="005A66AD" w:rsidP="007F470E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Contractor shall make every effort to maintain timely schedule.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your inclement weather policy</w:t>
            </w:r>
            <w:r w:rsidR="00453DA9">
              <w:rPr>
                <w:rFonts w:ascii="Arial" w:hAnsi="Arial" w:cs="Arial"/>
                <w:sz w:val="18"/>
                <w:szCs w:val="18"/>
              </w:rPr>
              <w:t xml:space="preserve"> and circumstances</w:t>
            </w:r>
            <w:r w:rsidR="007F470E">
              <w:rPr>
                <w:rFonts w:ascii="Arial" w:hAnsi="Arial" w:cs="Arial"/>
                <w:sz w:val="18"/>
                <w:szCs w:val="18"/>
              </w:rPr>
              <w:t xml:space="preserve"> that would stop the transportation schedule from starting or being completed. </w:t>
            </w:r>
          </w:p>
        </w:tc>
      </w:tr>
      <w:tr w:rsidR="005A66AD" w:rsidRPr="008B21F1" w14:paraId="705053EE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0B25F32F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49EEFC42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21EE1FEE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54B0B723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168" w:type="dxa"/>
            <w:gridSpan w:val="5"/>
            <w:hideMark/>
          </w:tcPr>
          <w:p w14:paraId="1A6EA64A" w14:textId="46AA9AB5" w:rsidR="005A66AD" w:rsidRPr="005A66AD" w:rsidRDefault="005A66AD" w:rsidP="00DC0B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Contractor must immediately report to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>, any delays or problems in route</w:t>
            </w:r>
            <w:r w:rsidRPr="008B21F1">
              <w:rPr>
                <w:rFonts w:ascii="Arial" w:hAnsi="Arial" w:cs="Arial"/>
                <w:sz w:val="18"/>
                <w:szCs w:val="18"/>
              </w:rPr>
              <w:t>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05">
              <w:rPr>
                <w:rFonts w:ascii="Arial" w:hAnsi="Arial" w:cs="Arial"/>
                <w:sz w:val="18"/>
                <w:szCs w:val="18"/>
              </w:rPr>
              <w:t>D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escribe communicat</w:t>
            </w:r>
            <w:r w:rsidR="00D934B6">
              <w:rPr>
                <w:rFonts w:ascii="Arial" w:hAnsi="Arial" w:cs="Arial"/>
                <w:sz w:val="18"/>
                <w:szCs w:val="18"/>
              </w:rPr>
              <w:t xml:space="preserve">ion policy 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to</w:t>
            </w:r>
            <w:r w:rsidR="00D934B6">
              <w:rPr>
                <w:rFonts w:ascii="Arial" w:hAnsi="Arial" w:cs="Arial"/>
                <w:sz w:val="18"/>
                <w:szCs w:val="18"/>
              </w:rPr>
              <w:t xml:space="preserve"> update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NDVA </w:t>
            </w:r>
            <w:r w:rsidR="00D934B6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any problems mid</w:t>
            </w:r>
            <w:r w:rsidR="00D934B6">
              <w:rPr>
                <w:rFonts w:ascii="Arial" w:hAnsi="Arial" w:cs="Arial"/>
                <w:sz w:val="18"/>
                <w:szCs w:val="18"/>
              </w:rPr>
              <w:t>-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route.</w:t>
            </w:r>
          </w:p>
        </w:tc>
      </w:tr>
      <w:tr w:rsidR="005A66AD" w:rsidRPr="005A66AD" w14:paraId="33CB39E1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474BA608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3C2D6011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76D9F8D4" w14:textId="77777777" w:rsidTr="005A66AD">
        <w:trPr>
          <w:trHeight w:val="449"/>
        </w:trPr>
        <w:tc>
          <w:tcPr>
            <w:tcW w:w="367" w:type="dxa"/>
            <w:vMerge w:val="restart"/>
            <w:noWrap/>
            <w:hideMark/>
          </w:tcPr>
          <w:p w14:paraId="16782E14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9168" w:type="dxa"/>
            <w:gridSpan w:val="5"/>
            <w:hideMark/>
          </w:tcPr>
          <w:p w14:paraId="1B8C77BB" w14:textId="2CB5AC8C" w:rsidR="005A66AD" w:rsidRPr="005A66AD" w:rsidRDefault="005A66AD" w:rsidP="00DF3696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 xml:space="preserve">Changes and delays may be necessary and unavoidable due to circumstances such as traffic, inclement weather, or </w:t>
            </w:r>
            <w:r w:rsidR="00DF3696">
              <w:rPr>
                <w:rFonts w:ascii="Arial" w:hAnsi="Arial" w:cs="Arial"/>
                <w:sz w:val="18"/>
                <w:szCs w:val="18"/>
              </w:rPr>
              <w:t>NDVA</w:t>
            </w:r>
            <w:r w:rsidRPr="005A66AD">
              <w:rPr>
                <w:rFonts w:ascii="Arial" w:hAnsi="Arial" w:cs="Arial"/>
                <w:sz w:val="18"/>
                <w:szCs w:val="18"/>
              </w:rPr>
              <w:t xml:space="preserve"> staffing circumstances (including call-ins, and Mandatory/Voluntary Overtime).  </w:t>
            </w:r>
            <w:r w:rsidR="00875E9F">
              <w:rPr>
                <w:rFonts w:ascii="Arial" w:hAnsi="Arial" w:cs="Arial"/>
                <w:sz w:val="18"/>
                <w:szCs w:val="18"/>
              </w:rPr>
              <w:t xml:space="preserve"> Provide policy and procedures in dealing with changes and delays. </w:t>
            </w:r>
          </w:p>
        </w:tc>
      </w:tr>
      <w:tr w:rsidR="005A66AD" w:rsidRPr="005A66AD" w14:paraId="1085657D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232BCA30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61F85FF0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68A756FB" w14:textId="77777777" w:rsidTr="005A66AD">
        <w:trPr>
          <w:trHeight w:val="480"/>
        </w:trPr>
        <w:tc>
          <w:tcPr>
            <w:tcW w:w="367" w:type="dxa"/>
            <w:vMerge w:val="restart"/>
            <w:noWrap/>
            <w:hideMark/>
          </w:tcPr>
          <w:p w14:paraId="68932414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9168" w:type="dxa"/>
            <w:gridSpan w:val="5"/>
            <w:hideMark/>
          </w:tcPr>
          <w:p w14:paraId="6FDC11E4" w14:textId="71D76023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Staffing changes and delays will be as minimal as possible.  Notifications regarding changes and delays shall be communicated promptly to the contractor.</w:t>
            </w:r>
            <w:r w:rsidR="00875E9F">
              <w:rPr>
                <w:rFonts w:ascii="Arial" w:hAnsi="Arial" w:cs="Arial"/>
                <w:sz w:val="18"/>
                <w:szCs w:val="18"/>
              </w:rPr>
              <w:t xml:space="preserve">  Describe procedure in accommodating staffing changes and delays.</w:t>
            </w:r>
          </w:p>
        </w:tc>
      </w:tr>
      <w:tr w:rsidR="005A66AD" w:rsidRPr="005A66AD" w14:paraId="4CEA3ACF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76C0BE76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B57A88E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051CE1C6" w14:textId="77777777" w:rsidTr="005A66AD">
        <w:trPr>
          <w:trHeight w:val="255"/>
        </w:trPr>
        <w:tc>
          <w:tcPr>
            <w:tcW w:w="367" w:type="dxa"/>
            <w:noWrap/>
            <w:hideMark/>
          </w:tcPr>
          <w:p w14:paraId="50DEEE44" w14:textId="77777777" w:rsidR="005A66AD" w:rsidRPr="005A66AD" w:rsidRDefault="005A66AD" w:rsidP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68" w:type="dxa"/>
            <w:gridSpan w:val="5"/>
            <w:hideMark/>
          </w:tcPr>
          <w:p w14:paraId="13678318" w14:textId="77777777" w:rsidR="005A66AD" w:rsidRPr="005A66AD" w:rsidRDefault="005A6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6AD">
              <w:rPr>
                <w:rFonts w:ascii="Arial" w:hAnsi="Arial" w:cs="Arial"/>
                <w:b/>
                <w:bCs/>
                <w:sz w:val="18"/>
                <w:szCs w:val="18"/>
              </w:rPr>
              <w:t>Safety and Security</w:t>
            </w:r>
          </w:p>
        </w:tc>
      </w:tr>
      <w:tr w:rsidR="005A66AD" w:rsidRPr="005A66AD" w14:paraId="5CC8C7B9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400E294B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9168" w:type="dxa"/>
            <w:gridSpan w:val="5"/>
            <w:hideMark/>
          </w:tcPr>
          <w:p w14:paraId="7A52FD35" w14:textId="129358EE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Contractor is responsible for the safety and security of the passengers.</w:t>
            </w:r>
            <w:r w:rsidR="002B7932">
              <w:rPr>
                <w:rFonts w:ascii="Arial" w:hAnsi="Arial" w:cs="Arial"/>
                <w:sz w:val="18"/>
                <w:szCs w:val="18"/>
              </w:rPr>
              <w:t xml:space="preserve"> Provide safety and security policy and programs.</w:t>
            </w:r>
          </w:p>
        </w:tc>
      </w:tr>
      <w:tr w:rsidR="005A66AD" w:rsidRPr="005A66AD" w14:paraId="50F3FF15" w14:textId="77777777" w:rsidTr="008B21F1">
        <w:trPr>
          <w:trHeight w:val="854"/>
        </w:trPr>
        <w:tc>
          <w:tcPr>
            <w:tcW w:w="367" w:type="dxa"/>
            <w:vMerge/>
            <w:hideMark/>
          </w:tcPr>
          <w:p w14:paraId="1DA2EC96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0E5AEAF2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3DDB09F7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3B8DB92C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168" w:type="dxa"/>
            <w:gridSpan w:val="5"/>
            <w:hideMark/>
          </w:tcPr>
          <w:p w14:paraId="4705A014" w14:textId="40DFB1DA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Contractor must have a safety program including policies and practices.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a listing.</w:t>
            </w:r>
          </w:p>
        </w:tc>
      </w:tr>
      <w:tr w:rsidR="005A66AD" w:rsidRPr="005A66AD" w14:paraId="1964AEC1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171A1563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EB32379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3CDF2EA3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4690D4C4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9168" w:type="dxa"/>
            <w:gridSpan w:val="5"/>
            <w:hideMark/>
          </w:tcPr>
          <w:p w14:paraId="3D3F34F3" w14:textId="60B6D0C2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Contractor must have and maintain a favorable safety record.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a listing of any safety issues in the last 3 years.</w:t>
            </w:r>
          </w:p>
        </w:tc>
      </w:tr>
      <w:tr w:rsidR="005A66AD" w:rsidRPr="005A66AD" w14:paraId="7589B5D3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590CED51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FF92EEA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01DF605C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3F11524B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9168" w:type="dxa"/>
            <w:gridSpan w:val="5"/>
            <w:hideMark/>
          </w:tcPr>
          <w:p w14:paraId="168EDDCB" w14:textId="60739723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Safety incidents must be reported immediately.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your policy.</w:t>
            </w:r>
          </w:p>
        </w:tc>
      </w:tr>
      <w:tr w:rsidR="005A66AD" w:rsidRPr="005A66AD" w14:paraId="21A4FE81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718051F5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62D5081C" w14:textId="77777777" w:rsidR="005A66AD" w:rsidRPr="008B21F1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  <w:tr w:rsidR="005A66AD" w:rsidRPr="005A66AD" w14:paraId="6D3D340B" w14:textId="77777777" w:rsidTr="005A66AD">
        <w:trPr>
          <w:trHeight w:val="240"/>
        </w:trPr>
        <w:tc>
          <w:tcPr>
            <w:tcW w:w="367" w:type="dxa"/>
            <w:vMerge w:val="restart"/>
            <w:noWrap/>
            <w:hideMark/>
          </w:tcPr>
          <w:p w14:paraId="51C456A8" w14:textId="77777777" w:rsidR="005A66AD" w:rsidRPr="005A66AD" w:rsidRDefault="005A66AD" w:rsidP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9168" w:type="dxa"/>
            <w:gridSpan w:val="5"/>
            <w:hideMark/>
          </w:tcPr>
          <w:p w14:paraId="743D42EB" w14:textId="4D7A12CC" w:rsidR="005A66AD" w:rsidRPr="008B21F1" w:rsidRDefault="005A66AD" w:rsidP="00D66705">
            <w:pPr>
              <w:rPr>
                <w:rFonts w:ascii="Arial" w:hAnsi="Arial" w:cs="Arial"/>
                <w:sz w:val="18"/>
                <w:szCs w:val="18"/>
              </w:rPr>
            </w:pPr>
            <w:r w:rsidRPr="008B21F1">
              <w:rPr>
                <w:rFonts w:ascii="Arial" w:hAnsi="Arial" w:cs="Arial"/>
                <w:sz w:val="18"/>
                <w:szCs w:val="18"/>
              </w:rPr>
              <w:t>Contractor must have a</w:t>
            </w:r>
            <w:r w:rsidR="00DF3696" w:rsidRPr="008B21F1">
              <w:rPr>
                <w:rFonts w:ascii="Arial" w:hAnsi="Arial" w:cs="Arial"/>
                <w:sz w:val="18"/>
                <w:szCs w:val="18"/>
              </w:rPr>
              <w:t>n</w:t>
            </w:r>
            <w:r w:rsidRPr="008B21F1">
              <w:rPr>
                <w:rFonts w:ascii="Arial" w:hAnsi="Arial" w:cs="Arial"/>
                <w:sz w:val="18"/>
                <w:szCs w:val="18"/>
              </w:rPr>
              <w:t xml:space="preserve"> inclement/severe weather policy.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6705">
              <w:rPr>
                <w:rFonts w:ascii="Arial" w:hAnsi="Arial" w:cs="Arial"/>
                <w:sz w:val="18"/>
                <w:szCs w:val="18"/>
              </w:rPr>
              <w:t>P</w:t>
            </w:r>
            <w:r w:rsidR="00D0317A" w:rsidRPr="008B21F1">
              <w:rPr>
                <w:rFonts w:ascii="Arial" w:hAnsi="Arial" w:cs="Arial"/>
                <w:sz w:val="18"/>
                <w:szCs w:val="18"/>
              </w:rPr>
              <w:t>rovide your policy.</w:t>
            </w:r>
          </w:p>
        </w:tc>
      </w:tr>
      <w:tr w:rsidR="005A66AD" w:rsidRPr="005A66AD" w14:paraId="741C4208" w14:textId="77777777" w:rsidTr="005A66AD">
        <w:trPr>
          <w:trHeight w:val="720"/>
        </w:trPr>
        <w:tc>
          <w:tcPr>
            <w:tcW w:w="367" w:type="dxa"/>
            <w:vMerge/>
            <w:hideMark/>
          </w:tcPr>
          <w:p w14:paraId="600281CE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8" w:type="dxa"/>
            <w:gridSpan w:val="5"/>
            <w:hideMark/>
          </w:tcPr>
          <w:p w14:paraId="5B3AA6C2" w14:textId="77777777" w:rsidR="005A66AD" w:rsidRPr="005A66AD" w:rsidRDefault="005A66AD">
            <w:pPr>
              <w:rPr>
                <w:rFonts w:ascii="Arial" w:hAnsi="Arial" w:cs="Arial"/>
                <w:sz w:val="18"/>
                <w:szCs w:val="18"/>
              </w:rPr>
            </w:pPr>
            <w:r w:rsidRPr="005A66AD">
              <w:rPr>
                <w:rFonts w:ascii="Arial" w:hAnsi="Arial" w:cs="Arial"/>
                <w:sz w:val="18"/>
                <w:szCs w:val="18"/>
              </w:rPr>
              <w:t>Bidder's Response:</w:t>
            </w:r>
          </w:p>
        </w:tc>
      </w:tr>
    </w:tbl>
    <w:p w14:paraId="7B1E19C6" w14:textId="77777777" w:rsidR="00BB132B" w:rsidRPr="005A66AD" w:rsidRDefault="00BB132B">
      <w:pPr>
        <w:rPr>
          <w:rFonts w:ascii="Arial" w:hAnsi="Arial" w:cs="Arial"/>
          <w:sz w:val="18"/>
          <w:szCs w:val="18"/>
        </w:rPr>
      </w:pPr>
    </w:p>
    <w:sectPr w:rsidR="00BB132B" w:rsidRPr="005A66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9846" w14:textId="77777777" w:rsidR="00343B22" w:rsidRDefault="00343B22" w:rsidP="00343B22">
      <w:pPr>
        <w:spacing w:after="0" w:line="240" w:lineRule="auto"/>
      </w:pPr>
      <w:r>
        <w:separator/>
      </w:r>
    </w:p>
  </w:endnote>
  <w:endnote w:type="continuationSeparator" w:id="0">
    <w:p w14:paraId="07F13DE2" w14:textId="77777777" w:rsidR="00343B22" w:rsidRDefault="00343B22" w:rsidP="0034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636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0AFA29" w14:textId="50D369F4" w:rsidR="00343B22" w:rsidRDefault="00343B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2BC367" w14:textId="77777777" w:rsidR="00343B22" w:rsidRDefault="00343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1373" w14:textId="77777777" w:rsidR="00343B22" w:rsidRDefault="00343B22" w:rsidP="00343B22">
      <w:pPr>
        <w:spacing w:after="0" w:line="240" w:lineRule="auto"/>
      </w:pPr>
      <w:r>
        <w:separator/>
      </w:r>
    </w:p>
  </w:footnote>
  <w:footnote w:type="continuationSeparator" w:id="0">
    <w:p w14:paraId="3A15A268" w14:textId="77777777" w:rsidR="00343B22" w:rsidRDefault="00343B22" w:rsidP="0034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D"/>
    <w:rsid w:val="00037F95"/>
    <w:rsid w:val="000F6FD2"/>
    <w:rsid w:val="00182286"/>
    <w:rsid w:val="00297825"/>
    <w:rsid w:val="002B7932"/>
    <w:rsid w:val="002B7F8E"/>
    <w:rsid w:val="00326FAE"/>
    <w:rsid w:val="00343B22"/>
    <w:rsid w:val="003468B7"/>
    <w:rsid w:val="00453DA9"/>
    <w:rsid w:val="005A66AD"/>
    <w:rsid w:val="00766381"/>
    <w:rsid w:val="007F470E"/>
    <w:rsid w:val="00817F73"/>
    <w:rsid w:val="0084526B"/>
    <w:rsid w:val="00875E9F"/>
    <w:rsid w:val="008B21F1"/>
    <w:rsid w:val="009A406A"/>
    <w:rsid w:val="00A66E62"/>
    <w:rsid w:val="00B238B2"/>
    <w:rsid w:val="00B86180"/>
    <w:rsid w:val="00B93DBA"/>
    <w:rsid w:val="00BB132B"/>
    <w:rsid w:val="00C72770"/>
    <w:rsid w:val="00CA4CDC"/>
    <w:rsid w:val="00CC4CAC"/>
    <w:rsid w:val="00D00295"/>
    <w:rsid w:val="00D0317A"/>
    <w:rsid w:val="00D170EB"/>
    <w:rsid w:val="00D66705"/>
    <w:rsid w:val="00D934B6"/>
    <w:rsid w:val="00DB5800"/>
    <w:rsid w:val="00DC0BAD"/>
    <w:rsid w:val="00DC52BF"/>
    <w:rsid w:val="00DF3696"/>
    <w:rsid w:val="00E11DCF"/>
    <w:rsid w:val="00E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B60A"/>
  <w15:chartTrackingRefBased/>
  <w15:docId w15:val="{984150FB-286B-43B2-A085-9D2EEED3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22"/>
  </w:style>
  <w:style w:type="paragraph" w:styleId="Footer">
    <w:name w:val="footer"/>
    <w:basedOn w:val="Normal"/>
    <w:link w:val="FooterChar"/>
    <w:uiPriority w:val="99"/>
    <w:unhideWhenUsed/>
    <w:rsid w:val="0034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22"/>
  </w:style>
  <w:style w:type="character" w:styleId="CommentReference">
    <w:name w:val="annotation reference"/>
    <w:basedOn w:val="DefaultParagraphFont"/>
    <w:uiPriority w:val="99"/>
    <w:semiHidden/>
    <w:unhideWhenUsed/>
    <w:rsid w:val="00D1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os.ne.gov/rules-and-regs/regsearch/Rules/Health_and_Human_Services_System/Title-400/Chapter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t.nebraska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Sarah</dc:creator>
  <cp:keywords/>
  <dc:description/>
  <cp:lastModifiedBy>Buske, Brielle</cp:lastModifiedBy>
  <cp:revision>17</cp:revision>
  <dcterms:created xsi:type="dcterms:W3CDTF">2018-11-13T22:31:00Z</dcterms:created>
  <dcterms:modified xsi:type="dcterms:W3CDTF">2018-12-03T20:19:00Z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1764208476</vt:i4>
  </property>
  <property fmtid="{D5CDD505-2E9C-101B-9397-08002B2CF9AE}" pid="3" name="_NewReviewCycle">
    <vt:lpwstr/>
  </property>
  <property fmtid="{D5CDD505-2E9C-101B-9397-08002B2CF9AE}" pid="4" name="_EmailSubject">
    <vt:lpwstr>98045 O5 RFP Documents for Review/Additional Information</vt:lpwstr>
  </property>
  <property fmtid="{D5CDD505-2E9C-101B-9397-08002B2CF9AE}" pid="5" name="_AuthorEmail">
    <vt:lpwstr>Lance.McKenney@nebraska.gov</vt:lpwstr>
  </property>
  <property fmtid="{D5CDD505-2E9C-101B-9397-08002B2CF9AE}" pid="6" name="_AuthorEmailDisplayName">
    <vt:lpwstr>McKenney, Lance</vt:lpwstr>
  </property>
  <property fmtid="{D5CDD505-2E9C-101B-9397-08002B2CF9AE}" pid="7" name="_ReviewingToolsShownOnce">
    <vt:lpwstr/>
  </property>
</Properties>
</file>